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E3247C6" wp14:paraId="662D082C" wp14:textId="5A54037C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7E3247C6" w:rsidR="521F9C6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7E3247C6" wp14:paraId="101CC4CD" wp14:textId="045EF7E0">
      <w:pPr>
        <w:shd w:val="clear" w:color="auto" w:fill="FFFFFF" w:themeFill="background1"/>
        <w:spacing w:before="0" w:beforeAutospacing="off" w:after="340" w:afterAutospacing="off"/>
      </w:pPr>
      <w:r w:rsidRPr="7E3247C6" w:rsidR="521F9C6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Professor Ikeda’s book </w:t>
      </w:r>
      <w:r w:rsidRPr="7E3247C6" w:rsidR="521F9C6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Okinawan War Memory: Transgenerational Trauma and the Fiction of Medoruma Shun</w:t>
      </w:r>
      <w:r w:rsidRPr="7E3247C6" w:rsidR="521F9C6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(Routledge, 2014) analyzes representations of war memory and trauma in the imaginative fiction of Okinawan writer Medoruma Shun, His related article “Geographically-Proximate Postmemory: Sites of War and the Enabling of Vicarious Narration in Medoruma Shun's Fiction” (2013) in the International Journal of Okinawan Studies (IJOS) elaborates second-generation war trauma in sites of war. Professor Ikeda’s translation of Medoruma’s “Mabuigumi” (Spirit Stuffing) appears in the literary journal Fiction International (2007), and in Living Spirit: Literature and Resurgence in Okinawa (2011).</w:t>
      </w:r>
    </w:p>
    <w:p xmlns:wp14="http://schemas.microsoft.com/office/word/2010/wordml" wp14:paraId="2C078E63" wp14:textId="2C2E142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C4FDD8"/>
    <w:rsid w:val="4EC4FDD8"/>
    <w:rsid w:val="521F9C63"/>
    <w:rsid w:val="7E3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FDD8"/>
  <w15:chartTrackingRefBased/>
  <w15:docId w15:val="{6654E558-E7C3-4A08-8C00-F7253B2F22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2024-10-11T14:58:37.1795212Z</dcterms:created>
  <dcterms:modified xsi:type="dcterms:W3CDTF">2024-10-11T14:59:00.3504033Z</dcterms:modified>
  <dc:creator>Suman Thapa</dc:creator>
  <lastModifiedBy>Suman Thapa</lastModifiedBy>
</coreProperties>
</file>